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Pr="00F61240" w:rsidRDefault="00552B0A" w:rsidP="00AC67A4">
      <w:pPr>
        <w:jc w:val="right"/>
        <w:rPr>
          <w:rFonts w:cs="Calibri"/>
          <w:noProof/>
          <w:lang w:eastAsia="is-IS"/>
        </w:rPr>
      </w:pPr>
      <w:r w:rsidRPr="00F61240"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F61240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F61240" w:rsidRDefault="00AC67A4" w:rsidP="00AC67A4">
      <w:pPr>
        <w:pStyle w:val="NoSpacing"/>
        <w:jc w:val="right"/>
        <w:rPr>
          <w:lang w:val="is-IS"/>
        </w:rPr>
      </w:pPr>
    </w:p>
    <w:p w14:paraId="095307A8" w14:textId="7258E98B" w:rsidR="00AC67A4" w:rsidRPr="00C72D5A" w:rsidRDefault="00A10A92" w:rsidP="00C72D5A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240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741A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2D5A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2D5A" w:rsidRPr="00C72D5A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Nature Observation on Land</w:t>
      </w:r>
    </w:p>
    <w:p w14:paraId="02DAFE63" w14:textId="581B306B" w:rsidR="00B077F0" w:rsidRPr="00F61240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52"/>
          <w:szCs w:val="72"/>
        </w:rPr>
      </w:pPr>
      <w:proofErr w:type="spellStart"/>
      <w:r w:rsidRPr="00F61240">
        <w:rPr>
          <w:color w:val="808080" w:themeColor="background1" w:themeShade="80"/>
          <w:sz w:val="52"/>
          <w:szCs w:val="72"/>
        </w:rPr>
        <w:t>Specific</w:t>
      </w:r>
      <w:proofErr w:type="spellEnd"/>
      <w:r w:rsidRPr="00F61240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5218FF">
        <w:rPr>
          <w:color w:val="808080" w:themeColor="background1" w:themeShade="80"/>
          <w:sz w:val="52"/>
          <w:szCs w:val="72"/>
        </w:rPr>
        <w:t>Quality</w:t>
      </w:r>
      <w:proofErr w:type="spellEnd"/>
      <w:r w:rsidR="005218FF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Pr="00F61240">
        <w:rPr>
          <w:color w:val="808080" w:themeColor="background1" w:themeShade="80"/>
          <w:sz w:val="52"/>
          <w:szCs w:val="72"/>
        </w:rPr>
        <w:t>Criteria</w:t>
      </w:r>
      <w:proofErr w:type="spellEnd"/>
      <w:r w:rsidRPr="00F61240">
        <w:rPr>
          <w:color w:val="808080" w:themeColor="background1" w:themeShade="80"/>
          <w:sz w:val="52"/>
          <w:szCs w:val="72"/>
        </w:rPr>
        <w:t xml:space="preserve"> </w:t>
      </w:r>
      <w:r w:rsidR="009E18E6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9E18E6">
        <w:rPr>
          <w:color w:val="808080" w:themeColor="background1" w:themeShade="80"/>
          <w:sz w:val="52"/>
          <w:szCs w:val="72"/>
        </w:rPr>
        <w:t>no</w:t>
      </w:r>
      <w:proofErr w:type="spellEnd"/>
      <w:r w:rsidR="00446950" w:rsidRPr="00F61240">
        <w:rPr>
          <w:color w:val="808080" w:themeColor="background1" w:themeShade="80"/>
          <w:sz w:val="52"/>
          <w:szCs w:val="72"/>
        </w:rPr>
        <w:t>.</w:t>
      </w:r>
      <w:r w:rsidR="00750314">
        <w:rPr>
          <w:color w:val="808080" w:themeColor="background1" w:themeShade="80"/>
          <w:sz w:val="52"/>
          <w:szCs w:val="72"/>
        </w:rPr>
        <w:t xml:space="preserve"> 208</w:t>
      </w:r>
      <w:r w:rsidR="009E18E6">
        <w:rPr>
          <w:color w:val="808080" w:themeColor="background1" w:themeShade="80"/>
          <w:sz w:val="52"/>
          <w:szCs w:val="72"/>
        </w:rPr>
        <w:t xml:space="preserve">- </w:t>
      </w:r>
      <w:proofErr w:type="spellStart"/>
      <w:r w:rsidR="009E18E6">
        <w:rPr>
          <w:color w:val="808080" w:themeColor="background1" w:themeShade="80"/>
          <w:sz w:val="52"/>
          <w:szCs w:val="72"/>
        </w:rPr>
        <w:t>Checklist</w:t>
      </w:r>
      <w:proofErr w:type="spellEnd"/>
    </w:p>
    <w:p w14:paraId="12113888" w14:textId="77777777" w:rsidR="00447E2B" w:rsidRPr="00F61240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28F86492" w:rsidR="002716AB" w:rsidRPr="00F61240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 w:rsidRPr="00F61240">
        <w:rPr>
          <w:color w:val="7F7F7F" w:themeColor="text1" w:themeTint="80"/>
          <w:sz w:val="32"/>
          <w:szCs w:val="32"/>
        </w:rPr>
        <w:t xml:space="preserve">4th </w:t>
      </w:r>
      <w:proofErr w:type="spellStart"/>
      <w:r w:rsidRPr="00F61240">
        <w:rPr>
          <w:color w:val="7F7F7F" w:themeColor="text1" w:themeTint="80"/>
          <w:sz w:val="32"/>
          <w:szCs w:val="32"/>
        </w:rPr>
        <w:t>edition</w:t>
      </w:r>
      <w:proofErr w:type="spellEnd"/>
      <w:r w:rsidRPr="00F61240">
        <w:rPr>
          <w:color w:val="7F7F7F" w:themeColor="text1" w:themeTint="80"/>
          <w:sz w:val="32"/>
          <w:szCs w:val="32"/>
        </w:rPr>
        <w:t xml:space="preserve"> </w:t>
      </w:r>
      <w:r w:rsidR="008D5BC3" w:rsidRPr="00F61240">
        <w:rPr>
          <w:color w:val="7F7F7F" w:themeColor="text1" w:themeTint="80"/>
          <w:sz w:val="32"/>
          <w:szCs w:val="32"/>
        </w:rPr>
        <w:t>2018</w:t>
      </w:r>
    </w:p>
    <w:p w14:paraId="051EA4E3" w14:textId="6B22CEF0" w:rsidR="00446950" w:rsidRPr="00F6124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 w:rsidRPr="00F61240">
        <w:rPr>
          <w:color w:val="7F7F7F" w:themeColor="text1" w:themeTint="80"/>
          <w:sz w:val="28"/>
          <w:szCs w:val="28"/>
        </w:rPr>
        <w:t>Self</w:t>
      </w:r>
      <w:proofErr w:type="spellEnd"/>
      <w:r w:rsidRPr="00F61240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F61240"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3169B8C9" w:rsidR="007842BB" w:rsidRPr="00F61240" w:rsidRDefault="008D5BC3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F61240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2EA28DA8">
            <wp:simplePos x="0" y="0"/>
            <wp:positionH relativeFrom="margin">
              <wp:posOffset>-65562</wp:posOffset>
            </wp:positionH>
            <wp:positionV relativeFrom="paragraph">
              <wp:posOffset>142908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2DE2" w14:textId="6A6D8A81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Pr="00F61240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ECEFCDB" w14:textId="77777777" w:rsidR="008D5BC3" w:rsidRPr="00F61240" w:rsidRDefault="008D5BC3">
      <w:pPr>
        <w:rPr>
          <w:rFonts w:eastAsia="Times New Roman"/>
          <w:b/>
          <w:sz w:val="24"/>
          <w:lang w:eastAsia="is-IS"/>
        </w:rPr>
      </w:pPr>
      <w:r w:rsidRPr="00F61240">
        <w:rPr>
          <w:rFonts w:eastAsia="Times New Roman"/>
          <w:b/>
          <w:sz w:val="24"/>
          <w:lang w:eastAsia="is-IS"/>
        </w:rPr>
        <w:br w:type="page"/>
      </w:r>
    </w:p>
    <w:p w14:paraId="040DAE3B" w14:textId="70A6299D" w:rsidR="00CF0AF2" w:rsidRPr="00F61240" w:rsidRDefault="00593D5F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4th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participants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themselves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e.</w:t>
      </w:r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r w:rsidR="00CF0AF2" w:rsidRPr="00F61240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etc</w:t>
      </w:r>
      <w:proofErr w:type="spellEnd"/>
      <w:r w:rsidR="005218FF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5218FF">
        <w:rPr>
          <w:rFonts w:eastAsia="Times New Roman"/>
          <w:b/>
          <w:sz w:val="24"/>
          <w:lang w:eastAsia="is-IS"/>
        </w:rPr>
        <w:t>R</w:t>
      </w:r>
      <w:r w:rsidR="00713519" w:rsidRPr="00F61240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 w:rsidRPr="00F61240">
        <w:rPr>
          <w:rFonts w:eastAsia="Times New Roman"/>
          <w:b/>
          <w:sz w:val="24"/>
          <w:lang w:eastAsia="is-IS"/>
        </w:rPr>
        <w:t>and</w:t>
      </w:r>
      <w:proofErr w:type="spellEnd"/>
      <w:r w:rsidR="00750B41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F61240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005C5CAA" w:rsidR="006D37D5" w:rsidRPr="00F61240" w:rsidRDefault="000B6C72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208</w:t>
            </w:r>
            <w:r w:rsidR="006D37D5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F61240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F61240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F61240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Pr="00F61240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F61240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F61240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3E436DC8" w:rsidR="006D37D5" w:rsidRPr="00F61240" w:rsidRDefault="000B6C72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6D37D5" w:rsidRPr="00F61240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covering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F61240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52D37257" w:rsidR="006D37D5" w:rsidRPr="00F61240" w:rsidRDefault="000B6C72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F61240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7FF23737" w:rsidR="006D37D5" w:rsidRPr="00F61240" w:rsidRDefault="000B6C72" w:rsidP="00593D5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0601E050" w:rsidR="006D37D5" w:rsidRPr="00593D5F" w:rsidRDefault="00695AE9" w:rsidP="00593D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593D5F">
              <w:rPr>
                <w:rFonts w:asciiTheme="minorHAnsi" w:hAnsiTheme="minorHAnsi" w:cstheme="minorHAnsi"/>
                <w:bCs/>
                <w:iCs/>
              </w:rPr>
              <w:t xml:space="preserve">Guides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briefed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safety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plans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every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year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briefing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is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done</w:t>
            </w:r>
            <w:proofErr w:type="spellEnd"/>
            <w:r w:rsidR="00593D5F"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according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written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procedure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593D5F" w:rsidRDefault="006D37D5" w:rsidP="005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593D5F" w:rsidRDefault="006D37D5" w:rsidP="005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593D5F" w:rsidRDefault="006D37D5" w:rsidP="0059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D37D5" w:rsidRPr="00F61240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6A06CEF9" w:rsidR="006D37D5" w:rsidRPr="00F61240" w:rsidRDefault="000B6C72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16E31951" w14:textId="04F1A3C8" w:rsidR="0051072D" w:rsidRPr="00F61240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operate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is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example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stated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employment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contracts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</w:p>
          <w:p w14:paraId="3E807A3D" w14:textId="779E2621" w:rsidR="006D37D5" w:rsidRPr="00F61240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subcontracting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agreements</w:t>
            </w:r>
            <w:proofErr w:type="spellEnd"/>
            <w:r w:rsidR="00C403AE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6A9E5FDE" w:rsidR="006D37D5" w:rsidRPr="00F61240" w:rsidRDefault="000B6C72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15DD0F9" w14:textId="58CDB823" w:rsidR="0051072D" w:rsidRPr="00F61240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contingency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</w:p>
          <w:p w14:paraId="57722B6E" w14:textId="07268BC5" w:rsidR="006D37D5" w:rsidRPr="00F61240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6D37D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D7815" w:rsidRPr="00F61240" w14:paraId="746E7F8B" w14:textId="77777777" w:rsidTr="0051072D">
        <w:tc>
          <w:tcPr>
            <w:tcW w:w="1252" w:type="dxa"/>
            <w:shd w:val="clear" w:color="auto" w:fill="FFFFFF"/>
          </w:tcPr>
          <w:p w14:paraId="6624DB0D" w14:textId="5A6500D3" w:rsidR="007D7815" w:rsidRPr="00F61240" w:rsidRDefault="000B6C72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="007D781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2EF46818" w14:textId="38A47B9C" w:rsidR="007D7815" w:rsidRPr="00593D5F" w:rsidRDefault="007D7815" w:rsidP="007D78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593D5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</w:t>
            </w:r>
            <w:r w:rsidRPr="00593D5F">
              <w:rPr>
                <w:rFonts w:asciiTheme="minorHAnsi" w:hAnsiTheme="minorHAnsi" w:cstheme="minorHAnsi"/>
                <w:bCs/>
                <w:iCs/>
              </w:rPr>
              <w:t>he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maintains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a list of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all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guides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working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its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behalf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>,</w:t>
            </w:r>
            <w:r w:rsidR="00593D5F"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employees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contractors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alike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stating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their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education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training</w:t>
            </w:r>
            <w:proofErr w:type="spellEnd"/>
            <w:r w:rsidR="00593D5F" w:rsidRPr="00593D5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593D5F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593D5F">
              <w:rPr>
                <w:rFonts w:asciiTheme="minorHAnsi" w:hAnsiTheme="minorHAnsi" w:cstheme="minorHAnsi"/>
                <w:bCs/>
                <w:iCs/>
              </w:rPr>
              <w:t xml:space="preserve"> experience</w:t>
            </w:r>
            <w:r w:rsidRPr="00593D5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14A3755" w14:textId="77777777" w:rsidR="007D7815" w:rsidRPr="00593D5F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739B72F" w14:textId="77777777" w:rsidR="007D7815" w:rsidRPr="00593D5F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C3550EE" w14:textId="77777777" w:rsidR="007D7815" w:rsidRPr="00593D5F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81B91" w:rsidRPr="00F61240" w14:paraId="0B431D9E" w14:textId="77777777" w:rsidTr="0051072D">
        <w:tc>
          <w:tcPr>
            <w:tcW w:w="1252" w:type="dxa"/>
            <w:shd w:val="clear" w:color="auto" w:fill="FFFFFF"/>
          </w:tcPr>
          <w:p w14:paraId="304F4084" w14:textId="2288FBBA" w:rsidR="00081B91" w:rsidRPr="00F61240" w:rsidRDefault="000B6C72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="007D781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-1.7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8893D36" w14:textId="6A58E71F" w:rsidR="00081B91" w:rsidRPr="00F61240" w:rsidRDefault="00081B91" w:rsidP="00081B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compiled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="00147A64" w:rsidRPr="00F61240">
              <w:rPr>
                <w:rFonts w:asciiTheme="minorHAnsi" w:hAnsiTheme="minorHAnsi" w:cstheme="minorHAnsi"/>
                <w:szCs w:val="24"/>
              </w:rPr>
              <w:t xml:space="preserve"> e.g.:</w:t>
            </w:r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D3BFBD8" w14:textId="6ADDC212" w:rsidR="00081B91" w:rsidRPr="00F61240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kit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47B9318" w14:textId="58FC4F57" w:rsidR="00081B91" w:rsidRPr="00F61240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Communication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CECDE8D" w14:textId="0F25BFE8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Tracking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12DA7BE9" w14:textId="77777777" w:rsidR="00787B62" w:rsidRDefault="00787B62" w:rsidP="00787B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Extra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6B6ADABF" w14:textId="013732DE" w:rsidR="00081B91" w:rsidRPr="00787B62" w:rsidRDefault="00081B91" w:rsidP="00787B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D56C692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50CD28B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F5C994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F61240" w14:paraId="62D69AD4" w14:textId="77777777" w:rsidTr="0051072D">
        <w:tc>
          <w:tcPr>
            <w:tcW w:w="1252" w:type="dxa"/>
            <w:shd w:val="clear" w:color="auto" w:fill="FFFFFF"/>
          </w:tcPr>
          <w:p w14:paraId="66E1C544" w14:textId="047F80C2" w:rsidR="00081B91" w:rsidRPr="00F61240" w:rsidRDefault="000B6C72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208</w:t>
            </w:r>
            <w:r w:rsidR="007D781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-1.8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7E59AC8C" w14:textId="564C918E" w:rsidR="00081B91" w:rsidRPr="00F61240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renewal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inspection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/testing,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accepted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operational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lifetime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things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is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 w:rsidR="00900EC8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13D77CF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2A3144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B0DB36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F61240" w14:paraId="129B0A34" w14:textId="77777777" w:rsidTr="006D37D5">
        <w:tc>
          <w:tcPr>
            <w:tcW w:w="1252" w:type="dxa"/>
            <w:shd w:val="clear" w:color="auto" w:fill="FFFFFF"/>
          </w:tcPr>
          <w:p w14:paraId="735D8C2A" w14:textId="543D8A13" w:rsidR="00081B91" w:rsidRPr="00F61240" w:rsidRDefault="000B6C72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="006A14B6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-1.9</w:t>
            </w:r>
          </w:p>
        </w:tc>
        <w:tc>
          <w:tcPr>
            <w:tcW w:w="6310" w:type="dxa"/>
            <w:shd w:val="clear" w:color="auto" w:fill="FFFFFF"/>
          </w:tcPr>
          <w:p w14:paraId="06703892" w14:textId="77777777" w:rsidR="00081B91" w:rsidRPr="00F61240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provide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accurate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location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information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area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travelling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event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assistance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essential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62270614" w14:textId="77777777" w:rsidR="004A0421" w:rsidRPr="00F61240" w:rsidRDefault="00081B91" w:rsidP="004A042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navigation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map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6263813C" w14:textId="77777777" w:rsidR="000331CB" w:rsidRPr="00F61240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GPS. </w:t>
            </w:r>
          </w:p>
          <w:p w14:paraId="66D7152D" w14:textId="4CB1F727" w:rsidR="00081B91" w:rsidRPr="00F61240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means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telecommunication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different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terrains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(e.g.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satellite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mobile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way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radio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Tetra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regions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64544B2B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0D49913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012952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F61240" w14:paraId="1F70EAF9" w14:textId="77777777" w:rsidTr="006D37D5">
        <w:tc>
          <w:tcPr>
            <w:tcW w:w="1252" w:type="dxa"/>
            <w:shd w:val="clear" w:color="auto" w:fill="FFFFFF"/>
          </w:tcPr>
          <w:p w14:paraId="1FBB2A84" w14:textId="4CE115AE" w:rsidR="004A0421" w:rsidRPr="00F61240" w:rsidRDefault="000B6C72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="006A14B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-1.10</w:t>
            </w:r>
          </w:p>
        </w:tc>
        <w:tc>
          <w:tcPr>
            <w:tcW w:w="6310" w:type="dxa"/>
            <w:shd w:val="clear" w:color="auto" w:fill="FFFFFF"/>
          </w:tcPr>
          <w:p w14:paraId="16D74CA9" w14:textId="77777777" w:rsidR="004A0421" w:rsidRPr="00F61240" w:rsidRDefault="004A042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instruct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regarding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matters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such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2A1DD884" w14:textId="2B472602" w:rsidR="004A0421" w:rsidRPr="00F61240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Local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E616318" w14:textId="79AC7364" w:rsidR="004A0421" w:rsidRPr="00F61240" w:rsidRDefault="00596809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4C7FEE2B" w14:textId="617601D3" w:rsidR="004A0421" w:rsidRDefault="007D7815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Proper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730F5DD" w14:textId="07178FAB" w:rsidR="000B6C72" w:rsidRPr="00F61240" w:rsidRDefault="000B6C72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precautions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traversing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rivers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tackling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steep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gradients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arduous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terrain</w:t>
            </w:r>
            <w:proofErr w:type="spellEnd"/>
          </w:p>
          <w:p w14:paraId="6A5ACA50" w14:textId="69DFC8E1" w:rsidR="004A0421" w:rsidRPr="00F61240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112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Iceland.</w:t>
            </w:r>
          </w:p>
        </w:tc>
        <w:tc>
          <w:tcPr>
            <w:tcW w:w="612" w:type="dxa"/>
            <w:shd w:val="clear" w:color="auto" w:fill="FFFFFF"/>
          </w:tcPr>
          <w:p w14:paraId="38106064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74EA36F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E0C1A0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F61240" w14:paraId="4DB19E98" w14:textId="77777777" w:rsidTr="00BD4F2A">
        <w:tc>
          <w:tcPr>
            <w:tcW w:w="1252" w:type="dxa"/>
            <w:shd w:val="clear" w:color="auto" w:fill="FFFFFF"/>
          </w:tcPr>
          <w:p w14:paraId="41D5ADF6" w14:textId="7264E85C" w:rsidR="004A0421" w:rsidRPr="00F61240" w:rsidRDefault="000B6C72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="006A14B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-1.11</w:t>
            </w:r>
          </w:p>
        </w:tc>
        <w:tc>
          <w:tcPr>
            <w:tcW w:w="6310" w:type="dxa"/>
            <w:shd w:val="clear" w:color="auto" w:fill="FFFFFF" w:themeFill="background1"/>
          </w:tcPr>
          <w:p w14:paraId="3D7F9A79" w14:textId="1FC7668F" w:rsidR="004A0421" w:rsidRPr="00F61240" w:rsidRDefault="00A85A6B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rules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apply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customer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ratio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potential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risks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355E135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0AD9281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DA606A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F61240" w14:paraId="60578BB3" w14:textId="77777777" w:rsidTr="006D37D5">
        <w:tc>
          <w:tcPr>
            <w:tcW w:w="1252" w:type="dxa"/>
            <w:shd w:val="clear" w:color="auto" w:fill="FFFFFF"/>
          </w:tcPr>
          <w:p w14:paraId="1CC1AE9A" w14:textId="53E213C5" w:rsidR="00081B91" w:rsidRPr="00F61240" w:rsidRDefault="000B6C72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="006A14B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-1.12</w:t>
            </w:r>
          </w:p>
        </w:tc>
        <w:tc>
          <w:tcPr>
            <w:tcW w:w="6310" w:type="dxa"/>
            <w:shd w:val="clear" w:color="auto" w:fill="FFFFFF"/>
          </w:tcPr>
          <w:p w14:paraId="608D5973" w14:textId="77777777" w:rsidR="00081B91" w:rsidRPr="00F61240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prepare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activities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day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items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163B57B3" w14:textId="57377E15" w:rsidR="00081B91" w:rsidRPr="00F61240" w:rsidRDefault="00081B91" w:rsidP="00081B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Details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itinerary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travelled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05EBC12F" w14:textId="70836B78" w:rsidR="00081B91" w:rsidRPr="00F61240" w:rsidRDefault="00081B91" w:rsidP="0051072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relating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’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abilities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  <w:p w14:paraId="4D5402AA" w14:textId="167518F9" w:rsidR="00787B62" w:rsidRPr="000B6C72" w:rsidRDefault="00081B91" w:rsidP="000B6C7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forecast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check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departures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2AF720DB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5B43704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AF7CE7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B6C72" w:rsidRPr="00F61240" w14:paraId="7F0CDE2F" w14:textId="77777777" w:rsidTr="006D37D5">
        <w:tc>
          <w:tcPr>
            <w:tcW w:w="1252" w:type="dxa"/>
            <w:shd w:val="clear" w:color="auto" w:fill="FFFFFF"/>
          </w:tcPr>
          <w:p w14:paraId="19B45169" w14:textId="5B18B037" w:rsidR="000B6C72" w:rsidRDefault="000B6C72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B6C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-1.13</w:t>
            </w:r>
          </w:p>
          <w:p w14:paraId="14C7B7A7" w14:textId="40084E65" w:rsidR="000B6C72" w:rsidRDefault="000B6C72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shd w:val="clear" w:color="auto" w:fill="FFFFFF"/>
          </w:tcPr>
          <w:p w14:paraId="4CDD37D7" w14:textId="78D23B53" w:rsidR="000B6C72" w:rsidRPr="00F61240" w:rsidRDefault="000B6C72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transported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by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vehicles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cars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bikes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ATVs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snow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mobiles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etc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.),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regulations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concerning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licences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adhered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lastRenderedPageBreak/>
              <w:t>measures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taken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; e.g.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belts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, helmets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DB41975" w14:textId="77777777" w:rsidR="000B6C72" w:rsidRPr="00F61240" w:rsidRDefault="000B6C72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1417BFD" w14:textId="77777777" w:rsidR="000B6C72" w:rsidRPr="00F61240" w:rsidRDefault="000B6C72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83E74A0" w14:textId="77777777" w:rsidR="000B6C72" w:rsidRPr="00F61240" w:rsidRDefault="000B6C72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B6C72" w:rsidRPr="00F61240" w14:paraId="0B2C5901" w14:textId="77777777" w:rsidTr="006D37D5">
        <w:tc>
          <w:tcPr>
            <w:tcW w:w="1252" w:type="dxa"/>
            <w:shd w:val="clear" w:color="auto" w:fill="FFFFFF"/>
          </w:tcPr>
          <w:p w14:paraId="716C4507" w14:textId="361CC364" w:rsidR="000B6C72" w:rsidRDefault="000B6C72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1.14</w:t>
            </w:r>
          </w:p>
        </w:tc>
        <w:tc>
          <w:tcPr>
            <w:tcW w:w="6310" w:type="dxa"/>
            <w:shd w:val="clear" w:color="auto" w:fill="FFFFFF"/>
          </w:tcPr>
          <w:p w14:paraId="61A104DE" w14:textId="4ECAD33C" w:rsidR="000B6C72" w:rsidRPr="000B6C72" w:rsidRDefault="000B6C72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informs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necessity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being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good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physical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condition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alcohol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drugs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can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make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them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unfit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take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part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0B6C72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0B6C7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944B374" w14:textId="77777777" w:rsidR="000B6C72" w:rsidRPr="00F61240" w:rsidRDefault="000B6C72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BA55E2D" w14:textId="77777777" w:rsidR="000B6C72" w:rsidRPr="00F61240" w:rsidRDefault="000B6C72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21ADA0F" w14:textId="77777777" w:rsidR="000B6C72" w:rsidRPr="00F61240" w:rsidRDefault="000B6C72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D4F2A" w:rsidRPr="00F61240" w14:paraId="67417C9B" w14:textId="77777777" w:rsidTr="006D37D5">
        <w:tc>
          <w:tcPr>
            <w:tcW w:w="1252" w:type="dxa"/>
            <w:shd w:val="clear" w:color="auto" w:fill="FFFFFF"/>
          </w:tcPr>
          <w:p w14:paraId="08AA1D95" w14:textId="7C4BE431" w:rsidR="00BD4F2A" w:rsidRPr="00F61240" w:rsidRDefault="000B6C72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B6C7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-1.15</w:t>
            </w:r>
          </w:p>
        </w:tc>
        <w:tc>
          <w:tcPr>
            <w:tcW w:w="6310" w:type="dxa"/>
            <w:shd w:val="clear" w:color="auto" w:fill="FFFFFF"/>
          </w:tcPr>
          <w:p w14:paraId="013D90D5" w14:textId="206ABFE9" w:rsidR="00BD4F2A" w:rsidRPr="00F61240" w:rsidRDefault="00787B62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guidelines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cancel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due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1E9FB98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865C33E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0022BC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1226D437" w14:textId="6BCCE0E7" w:rsidTr="0037155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2FDF40F6" w:rsidR="000A524E" w:rsidRPr="00F61240" w:rsidRDefault="000B6C72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208</w:t>
            </w:r>
            <w:r w:rsidR="000A524E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B94F8B0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11F40BA8" w14:textId="6FC448AA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11DE2464" w14:textId="58249A9E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0F4C78C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3C2AB9D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F61240" w14:paraId="6E2B0B78" w14:textId="77777777" w:rsidTr="002A3305">
        <w:tc>
          <w:tcPr>
            <w:tcW w:w="1252" w:type="dxa"/>
            <w:shd w:val="clear" w:color="auto" w:fill="auto"/>
          </w:tcPr>
          <w:p w14:paraId="3C626E65" w14:textId="02E93FAF" w:rsidR="000A524E" w:rsidRPr="00F61240" w:rsidRDefault="000B6C72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="000A524E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</w:t>
            </w:r>
          </w:p>
        </w:tc>
        <w:tc>
          <w:tcPr>
            <w:tcW w:w="6310" w:type="dxa"/>
            <w:shd w:val="clear" w:color="auto" w:fill="auto"/>
          </w:tcPr>
          <w:p w14:paraId="2731EC63" w14:textId="445469D6" w:rsidR="000A524E" w:rsidRPr="00F61240" w:rsidRDefault="000A524E" w:rsidP="000A524E">
            <w:pPr>
              <w:pStyle w:val="NormalWeb"/>
              <w:shd w:val="clear" w:color="auto" w:fill="FFFFFF"/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Marked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roads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recognised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vehicle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tracks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always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e.g.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in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winter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driving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across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delicate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eco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systems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must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be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avoided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 w:rsidR="00E1321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F40BB" w:rsidRPr="00F61240" w14:paraId="41005D34" w14:textId="77777777" w:rsidTr="002A3305">
        <w:tc>
          <w:tcPr>
            <w:tcW w:w="1252" w:type="dxa"/>
            <w:shd w:val="clear" w:color="auto" w:fill="auto"/>
          </w:tcPr>
          <w:p w14:paraId="4CCEC4F5" w14:textId="476B8BC8" w:rsidR="000F40BB" w:rsidRDefault="000F40BB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F40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208-2.2</w:t>
            </w:r>
          </w:p>
        </w:tc>
        <w:tc>
          <w:tcPr>
            <w:tcW w:w="6310" w:type="dxa"/>
            <w:shd w:val="clear" w:color="auto" w:fill="auto"/>
          </w:tcPr>
          <w:p w14:paraId="3366CC30" w14:textId="2AD17011" w:rsidR="000F40BB" w:rsidRPr="00F61240" w:rsidRDefault="000F40BB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ensures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streams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rivers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only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crossed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in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designated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places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vehicles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only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driven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into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rivers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out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them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at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an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angle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prevents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damage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riverbanks</w:t>
            </w:r>
            <w:proofErr w:type="spellEnd"/>
            <w:r w:rsidRPr="000F40BB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9B41778" w14:textId="77777777" w:rsidR="000F40BB" w:rsidRPr="00F61240" w:rsidRDefault="000F40BB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CF51BC0" w14:textId="77777777" w:rsidR="000F40BB" w:rsidRPr="00F61240" w:rsidRDefault="000F40BB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23687B1" w14:textId="77777777" w:rsidR="000F40BB" w:rsidRPr="00F61240" w:rsidRDefault="000F40BB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6C72" w:rsidRPr="00F61240" w14:paraId="2AB42B87" w14:textId="77777777" w:rsidTr="002A3305">
        <w:tc>
          <w:tcPr>
            <w:tcW w:w="1252" w:type="dxa"/>
            <w:shd w:val="clear" w:color="auto" w:fill="auto"/>
          </w:tcPr>
          <w:p w14:paraId="0B174E54" w14:textId="25A90C45" w:rsidR="000B6C72" w:rsidRDefault="000F40BB" w:rsidP="000F40B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-2.3</w:t>
            </w:r>
          </w:p>
        </w:tc>
        <w:tc>
          <w:tcPr>
            <w:tcW w:w="6310" w:type="dxa"/>
            <w:shd w:val="clear" w:color="auto" w:fill="auto"/>
          </w:tcPr>
          <w:p w14:paraId="1824A52A" w14:textId="0EFEF157" w:rsidR="000B6C72" w:rsidRPr="000F40BB" w:rsidRDefault="008C74D0" w:rsidP="000F40BB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</w:t>
            </w:r>
            <w:proofErr w:type="spellEnd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company</w:t>
            </w:r>
            <w:proofErr w:type="spellEnd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complies</w:t>
            </w:r>
            <w:proofErr w:type="spellEnd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with</w:t>
            </w:r>
            <w:proofErr w:type="spellEnd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laws</w:t>
            </w:r>
            <w:proofErr w:type="spellEnd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regulations</w:t>
            </w:r>
            <w:proofErr w:type="spellEnd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on</w:t>
            </w:r>
            <w:proofErr w:type="spellEnd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environmental</w:t>
            </w:r>
            <w:proofErr w:type="spellEnd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protection</w:t>
            </w:r>
            <w:proofErr w:type="spellEnd"/>
            <w:r w:rsidRPr="000F40BB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50E0FC05" w14:textId="77777777" w:rsidR="000B6C72" w:rsidRPr="000F40BB" w:rsidRDefault="000B6C72" w:rsidP="000F40B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2313BC2" w14:textId="77777777" w:rsidR="000B6C72" w:rsidRPr="000F40BB" w:rsidRDefault="000B6C72" w:rsidP="000F40BB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5CE698E" w14:textId="77777777" w:rsidR="000B6C72" w:rsidRPr="000F40BB" w:rsidRDefault="000B6C72" w:rsidP="000F40BB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AA4910C" w14:textId="77777777" w:rsidTr="002A3305">
        <w:tc>
          <w:tcPr>
            <w:tcW w:w="1252" w:type="dxa"/>
            <w:shd w:val="clear" w:color="auto" w:fill="auto"/>
          </w:tcPr>
          <w:p w14:paraId="408A6F64" w14:textId="621B0BCD" w:rsidR="00787B62" w:rsidRPr="00787B62" w:rsidRDefault="000F40BB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-2.4</w:t>
            </w:r>
          </w:p>
        </w:tc>
        <w:tc>
          <w:tcPr>
            <w:tcW w:w="6310" w:type="dxa"/>
            <w:shd w:val="clear" w:color="auto" w:fill="auto"/>
          </w:tcPr>
          <w:p w14:paraId="19E0262C" w14:textId="7EB6F892" w:rsidR="00787B62" w:rsidRPr="00787B62" w:rsidRDefault="008C74D0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observes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current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laws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regulations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animal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protection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such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as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laws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protection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specific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species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during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nesting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or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breeding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season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7252D77" w14:textId="77777777" w:rsidR="00787B62" w:rsidRPr="00F61240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84E1302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63C1954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0120D1C7" w14:textId="77777777" w:rsidTr="002A3305">
        <w:tc>
          <w:tcPr>
            <w:tcW w:w="1252" w:type="dxa"/>
            <w:shd w:val="clear" w:color="auto" w:fill="auto"/>
          </w:tcPr>
          <w:p w14:paraId="021111D1" w14:textId="33CAEFB1" w:rsidR="00787B62" w:rsidRPr="00787B62" w:rsidRDefault="000F40BB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-2.5</w:t>
            </w:r>
          </w:p>
        </w:tc>
        <w:tc>
          <w:tcPr>
            <w:tcW w:w="6310" w:type="dxa"/>
            <w:shd w:val="clear" w:color="auto" w:fill="auto"/>
          </w:tcPr>
          <w:p w14:paraId="63E52EA7" w14:textId="5D0D3A68" w:rsidR="00787B62" w:rsidRPr="00787B62" w:rsidRDefault="008C74D0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has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compiled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published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Code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Conduct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regarding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observation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wild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animals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in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order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not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disturb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wildlife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.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This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applies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for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example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proximity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birds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during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nesting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season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reindeer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seals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foxes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during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breeding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season</w:t>
            </w:r>
            <w:proofErr w:type="spellEnd"/>
            <w:r w:rsidR="009E18E6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A3BB18E" w14:textId="77777777" w:rsidR="00787B62" w:rsidRPr="00F61240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F179338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777DC6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1F5C133B" w14:textId="77777777" w:rsidTr="002A3305">
        <w:tc>
          <w:tcPr>
            <w:tcW w:w="1252" w:type="dxa"/>
            <w:shd w:val="clear" w:color="auto" w:fill="auto"/>
          </w:tcPr>
          <w:p w14:paraId="669BB4DE" w14:textId="3CDA7707" w:rsidR="000A524E" w:rsidRPr="00F61240" w:rsidRDefault="000F40BB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C74D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-2.6</w:t>
            </w:r>
          </w:p>
        </w:tc>
        <w:tc>
          <w:tcPr>
            <w:tcW w:w="6310" w:type="dxa"/>
            <w:shd w:val="clear" w:color="auto" w:fill="auto"/>
          </w:tcPr>
          <w:p w14:paraId="7E769F08" w14:textId="6B06FAEE" w:rsidR="000A524E" w:rsidRPr="00F61240" w:rsidRDefault="008C74D0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When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promoting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marketing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its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services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strives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emphasise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environmentally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friendly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tourism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sustainability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74D0" w:rsidRPr="00F61240" w14:paraId="37D2A334" w14:textId="77777777" w:rsidTr="002A3305">
        <w:tc>
          <w:tcPr>
            <w:tcW w:w="1252" w:type="dxa"/>
            <w:shd w:val="clear" w:color="auto" w:fill="auto"/>
          </w:tcPr>
          <w:p w14:paraId="17410805" w14:textId="645CF646" w:rsidR="008C74D0" w:rsidRDefault="000F40BB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208-2.7</w:t>
            </w:r>
          </w:p>
        </w:tc>
        <w:tc>
          <w:tcPr>
            <w:tcW w:w="6310" w:type="dxa"/>
            <w:shd w:val="clear" w:color="auto" w:fill="auto"/>
          </w:tcPr>
          <w:p w14:paraId="34DD6A94" w14:textId="0EDEA303" w:rsidR="008C74D0" w:rsidRDefault="008C74D0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Guides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inform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about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culture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history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area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travel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through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D4E8389" w14:textId="77777777" w:rsidR="008C74D0" w:rsidRPr="00F61240" w:rsidRDefault="008C74D0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818FB75" w14:textId="77777777" w:rsidR="008C74D0" w:rsidRPr="00F61240" w:rsidRDefault="008C74D0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173856E" w14:textId="77777777" w:rsidR="008C74D0" w:rsidRPr="00F61240" w:rsidRDefault="008C74D0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12EE58E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77719211" w14:textId="2338254A" w:rsidR="00787B62" w:rsidRDefault="000F40BB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208-2.8</w:t>
            </w:r>
          </w:p>
        </w:tc>
        <w:tc>
          <w:tcPr>
            <w:tcW w:w="6310" w:type="dxa"/>
            <w:shd w:val="clear" w:color="auto" w:fill="auto"/>
          </w:tcPr>
          <w:p w14:paraId="5AFD8C90" w14:textId="5ED2FC73" w:rsidR="00787B62" w:rsidRPr="00F61240" w:rsidRDefault="008C74D0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training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instruction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materials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by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training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education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new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employees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based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on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principles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sustainable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tourism</w:t>
            </w:r>
            <w:proofErr w:type="spellEnd"/>
            <w:r w:rsidR="009E18E6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C0649DA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84C0C5C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882E8F0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2D8B52F1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1C313D20" w14:textId="08A5A8B3" w:rsidR="000A524E" w:rsidRPr="00F61240" w:rsidRDefault="000F40BB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208-2.9</w:t>
            </w:r>
          </w:p>
        </w:tc>
        <w:tc>
          <w:tcPr>
            <w:tcW w:w="6310" w:type="dxa"/>
            <w:shd w:val="clear" w:color="auto" w:fill="auto"/>
          </w:tcPr>
          <w:p w14:paraId="2802A33B" w14:textId="510C94AB" w:rsidR="000A524E" w:rsidRPr="00F61240" w:rsidRDefault="008C74D0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seeks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use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buildings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equipment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appropriate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location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natural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conditions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83CE787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8AD866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09C76EE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49AF" w:rsidRPr="00F61240" w14:paraId="7015B3D9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3CB84434" w14:textId="4E4DD1F8" w:rsidR="00F949AF" w:rsidRDefault="000F40BB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208-2.10</w:t>
            </w:r>
          </w:p>
        </w:tc>
        <w:tc>
          <w:tcPr>
            <w:tcW w:w="6310" w:type="dxa"/>
            <w:shd w:val="clear" w:color="auto" w:fill="auto"/>
          </w:tcPr>
          <w:p w14:paraId="041D5D87" w14:textId="58B7927E" w:rsidR="00F949AF" w:rsidRPr="00F61240" w:rsidRDefault="008C74D0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lang w:eastAsia="en-US"/>
              </w:rPr>
              <w:t>I</w:t>
            </w:r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n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natural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lighting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insufficient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lighting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only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legibility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signs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for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safety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8C74D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599C753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780BFB4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1471C4F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43F8331E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79096E5D" w14:textId="7838C6BF" w:rsidR="000A524E" w:rsidRPr="00F61240" w:rsidRDefault="001901F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751E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-2.11</w:t>
            </w:r>
          </w:p>
        </w:tc>
        <w:tc>
          <w:tcPr>
            <w:tcW w:w="6310" w:type="dxa"/>
            <w:shd w:val="clear" w:color="auto" w:fill="auto"/>
          </w:tcPr>
          <w:p w14:paraId="79DBD3ED" w14:textId="48AEF83E" w:rsidR="000A524E" w:rsidRPr="00F61240" w:rsidRDefault="008C74D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ensures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that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visible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signs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its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operations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in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nature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kept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proofErr w:type="spellStart"/>
            <w:r w:rsidRPr="008C74D0">
              <w:rPr>
                <w:rFonts w:asciiTheme="minorHAnsi" w:hAnsiTheme="minorHAnsi" w:cstheme="minorHAnsi"/>
                <w:bCs/>
                <w:iCs/>
              </w:rPr>
              <w:t>minimum</w:t>
            </w:r>
            <w:proofErr w:type="spellEnd"/>
            <w:r w:rsidRPr="008C74D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15E2BE7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4C6F9B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0659454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1086D" w:rsidRPr="00F61240" w14:paraId="04B2CC30" w14:textId="77777777" w:rsidTr="00F1086D">
        <w:trPr>
          <w:trHeight w:val="324"/>
        </w:trPr>
        <w:tc>
          <w:tcPr>
            <w:tcW w:w="1252" w:type="dxa"/>
            <w:shd w:val="clear" w:color="auto" w:fill="auto"/>
          </w:tcPr>
          <w:p w14:paraId="420F4BC2" w14:textId="1F3F2593" w:rsidR="00F1086D" w:rsidRDefault="001901F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751E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-2.12</w:t>
            </w:r>
          </w:p>
        </w:tc>
        <w:tc>
          <w:tcPr>
            <w:tcW w:w="6310" w:type="dxa"/>
            <w:shd w:val="clear" w:color="auto" w:fill="auto"/>
          </w:tcPr>
          <w:p w14:paraId="5FDA1BF4" w14:textId="07E0319D" w:rsidR="00F1086D" w:rsidRPr="008C74D0" w:rsidRDefault="00F1086D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F1086D">
              <w:rPr>
                <w:rFonts w:asciiTheme="minorHAnsi" w:hAnsiTheme="minorHAnsi" w:cstheme="minorHAnsi"/>
                <w:bCs/>
                <w:iCs/>
              </w:rPr>
              <w:t>All</w:t>
            </w:r>
            <w:proofErr w:type="spellEnd"/>
            <w:r w:rsidRPr="00F1086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1086D">
              <w:rPr>
                <w:rFonts w:asciiTheme="minorHAnsi" w:hAnsiTheme="minorHAnsi" w:cstheme="minorHAnsi"/>
                <w:bCs/>
                <w:iCs/>
              </w:rPr>
              <w:t>non</w:t>
            </w:r>
            <w:proofErr w:type="spellEnd"/>
            <w:r w:rsidRPr="00F1086D">
              <w:rPr>
                <w:rFonts w:asciiTheme="minorHAnsi" w:hAnsiTheme="minorHAnsi" w:cstheme="minorHAnsi"/>
                <w:bCs/>
                <w:iCs/>
              </w:rPr>
              <w:t>-</w:t>
            </w:r>
            <w:proofErr w:type="spellStart"/>
            <w:r w:rsidRPr="00F1086D">
              <w:rPr>
                <w:rFonts w:asciiTheme="minorHAnsi" w:hAnsiTheme="minorHAnsi" w:cstheme="minorHAnsi"/>
                <w:bCs/>
                <w:iCs/>
              </w:rPr>
              <w:t>biodegradable</w:t>
            </w:r>
            <w:proofErr w:type="spellEnd"/>
            <w:r w:rsidRPr="00F1086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1086D">
              <w:rPr>
                <w:rFonts w:asciiTheme="minorHAnsi" w:hAnsiTheme="minorHAnsi" w:cstheme="minorHAnsi"/>
                <w:bCs/>
                <w:iCs/>
              </w:rPr>
              <w:t>refuse</w:t>
            </w:r>
            <w:proofErr w:type="spellEnd"/>
            <w:r w:rsidRPr="00F1086D">
              <w:rPr>
                <w:rFonts w:asciiTheme="minorHAnsi" w:hAnsiTheme="minorHAnsi" w:cstheme="minorHAnsi"/>
                <w:bCs/>
                <w:iCs/>
              </w:rPr>
              <w:t xml:space="preserve"> is removed.</w:t>
            </w:r>
          </w:p>
        </w:tc>
        <w:tc>
          <w:tcPr>
            <w:tcW w:w="612" w:type="dxa"/>
            <w:shd w:val="clear" w:color="auto" w:fill="auto"/>
          </w:tcPr>
          <w:p w14:paraId="4D6F4E9C" w14:textId="77777777" w:rsidR="00F1086D" w:rsidRPr="00F61240" w:rsidRDefault="00F1086D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22790E3" w14:textId="77777777" w:rsidR="00F1086D" w:rsidRPr="00F61240" w:rsidRDefault="00F1086D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2EE229E" w14:textId="77777777" w:rsidR="00F1086D" w:rsidRPr="00F61240" w:rsidRDefault="00F1086D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C751E0" w:rsidRPr="00F61240" w14:paraId="3503CBC7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27A127EC" w14:textId="3EE8CAC9" w:rsidR="00C751E0" w:rsidRDefault="001901F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751E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-2.13</w:t>
            </w:r>
          </w:p>
        </w:tc>
        <w:tc>
          <w:tcPr>
            <w:tcW w:w="6310" w:type="dxa"/>
            <w:shd w:val="clear" w:color="auto" w:fill="auto"/>
          </w:tcPr>
          <w:p w14:paraId="6C8542BA" w14:textId="64774882" w:rsidR="00C751E0" w:rsidRPr="00F61240" w:rsidRDefault="00C751E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ensures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that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feeding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wild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animals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is not a part of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its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daily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operations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F5DCA09" w14:textId="77777777" w:rsidR="00C751E0" w:rsidRPr="00F61240" w:rsidRDefault="00C751E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C1CADD5" w14:textId="77777777" w:rsidR="00C751E0" w:rsidRPr="00F61240" w:rsidRDefault="00C751E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345BA2A" w14:textId="77777777" w:rsidR="00C751E0" w:rsidRPr="00F61240" w:rsidRDefault="00C751E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C751E0" w:rsidRPr="00F61240" w14:paraId="0C6F5ACE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258BEB04" w14:textId="769E1CA0" w:rsidR="00C751E0" w:rsidRDefault="001901F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751E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-2.14</w:t>
            </w:r>
          </w:p>
        </w:tc>
        <w:tc>
          <w:tcPr>
            <w:tcW w:w="6310" w:type="dxa"/>
            <w:shd w:val="clear" w:color="auto" w:fill="auto"/>
          </w:tcPr>
          <w:p w14:paraId="03C3C136" w14:textId="3C1A6173" w:rsidR="00C751E0" w:rsidRPr="00F61240" w:rsidRDefault="00C751E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consults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with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organisations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in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charge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conservation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in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areas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in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which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operates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, at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least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once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year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7D7F668" w14:textId="77777777" w:rsidR="00C751E0" w:rsidRPr="00F61240" w:rsidRDefault="00C751E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314B9B2" w14:textId="77777777" w:rsidR="00C751E0" w:rsidRPr="00F61240" w:rsidRDefault="00C751E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2480D5" w14:textId="77777777" w:rsidR="00C751E0" w:rsidRPr="00F61240" w:rsidRDefault="00C751E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C751E0" w:rsidRPr="00F61240" w14:paraId="41F37D89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7015D0D5" w14:textId="541C1D5E" w:rsidR="00C751E0" w:rsidRPr="00C751E0" w:rsidRDefault="001901F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751E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-2.15</w:t>
            </w:r>
          </w:p>
        </w:tc>
        <w:tc>
          <w:tcPr>
            <w:tcW w:w="6310" w:type="dxa"/>
            <w:shd w:val="clear" w:color="auto" w:fill="auto"/>
          </w:tcPr>
          <w:p w14:paraId="0FF965DB" w14:textId="5B18091A" w:rsidR="00C751E0" w:rsidRPr="00C751E0" w:rsidRDefault="00C751E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consults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with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landowners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when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operating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their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land, for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example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where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when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how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often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tours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take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place</w:t>
            </w:r>
            <w:proofErr w:type="spellEnd"/>
            <w:r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DC53A61" w14:textId="77777777" w:rsidR="00C751E0" w:rsidRPr="00F61240" w:rsidRDefault="00C751E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25D8171" w14:textId="77777777" w:rsidR="00C751E0" w:rsidRPr="00F61240" w:rsidRDefault="00C751E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83B9C9A" w14:textId="77777777" w:rsidR="00C751E0" w:rsidRPr="00F61240" w:rsidRDefault="00C751E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C751E0" w:rsidRPr="00F61240" w14:paraId="1AE6AC8D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46B6F6D5" w14:textId="497B2786" w:rsidR="00C751E0" w:rsidRPr="00C751E0" w:rsidRDefault="001901F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751E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-2.16</w:t>
            </w:r>
          </w:p>
        </w:tc>
        <w:tc>
          <w:tcPr>
            <w:tcW w:w="6310" w:type="dxa"/>
            <w:shd w:val="clear" w:color="auto" w:fill="auto"/>
          </w:tcPr>
          <w:p w14:paraId="74282E3B" w14:textId="193D26B1" w:rsidR="00C751E0" w:rsidRPr="00C751E0" w:rsidRDefault="00C751E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Customers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informed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about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toilet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arrangements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measures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taken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ensure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that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they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follow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instructions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where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conventional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facilities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 xml:space="preserve"> not </w:t>
            </w:r>
            <w:proofErr w:type="spellStart"/>
            <w:r w:rsidRPr="00C751E0">
              <w:rPr>
                <w:rFonts w:asciiTheme="minorHAnsi" w:hAnsiTheme="minorHAnsi" w:cstheme="minorHAnsi"/>
                <w:bCs/>
                <w:iCs/>
              </w:rPr>
              <w:t>available</w:t>
            </w:r>
            <w:proofErr w:type="spellEnd"/>
            <w:r w:rsidRPr="00C751E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4827A01" w14:textId="77777777" w:rsidR="00C751E0" w:rsidRPr="00F61240" w:rsidRDefault="00C751E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C8F59D8" w14:textId="77777777" w:rsidR="00C751E0" w:rsidRPr="00F61240" w:rsidRDefault="00C751E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2769960" w14:textId="77777777" w:rsidR="00C751E0" w:rsidRPr="00F61240" w:rsidRDefault="00C751E0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949AF" w:rsidRPr="00F61240" w14:paraId="48F77FDD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679FC206" w14:textId="071091E2" w:rsidR="00F949AF" w:rsidRDefault="001901F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C751E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-2.17</w:t>
            </w:r>
          </w:p>
        </w:tc>
        <w:tc>
          <w:tcPr>
            <w:tcW w:w="6310" w:type="dxa"/>
            <w:shd w:val="clear" w:color="auto" w:fill="auto"/>
          </w:tcPr>
          <w:p w14:paraId="76E345A1" w14:textId="29AFA75C" w:rsidR="00F949AF" w:rsidRPr="00F949AF" w:rsidRDefault="00EF20FF" w:rsidP="00EF20F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reminded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responsible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behaviour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towards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environment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7F32F72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76FE8EE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B47B4FF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0BEC7889" w14:textId="77777777" w:rsidR="001901FE" w:rsidRDefault="001901FE">
      <w:r>
        <w:br w:type="page"/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0A524E" w:rsidRPr="00F61240" w14:paraId="40E6DF8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E172AD" w14:textId="68E813B0" w:rsidR="000A524E" w:rsidRPr="00F61240" w:rsidRDefault="000B6C72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208</w:t>
            </w:r>
            <w:r w:rsidR="009E18E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F92766" w14:textId="7DDD13CF" w:rsidR="000A524E" w:rsidRPr="00F61240" w:rsidRDefault="000A524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86931A6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46A26C9E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602DD5E5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9738CA1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F61240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0B2F" w14:textId="5391FF5F" w:rsidR="000A524E" w:rsidRPr="00F61240" w:rsidRDefault="000B6C72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="000A524E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704E2A6C" w:rsidR="000A524E" w:rsidRPr="00F61240" w:rsidRDefault="006B7815" w:rsidP="008D7B8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F61240">
              <w:rPr>
                <w:rFonts w:asciiTheme="minorHAnsi" w:hAnsiTheme="minorHAnsi" w:cstheme="minorHAnsi"/>
                <w:noProof/>
                <w:szCs w:val="24"/>
              </w:rPr>
              <w:t>Guides have completed specialized training/education, e.g. are certified guides and/or have substantial experience appropriate for the tour in question.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46DA2" w:rsidRPr="00F61240" w14:paraId="1275E3E3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DAB" w14:textId="2397A6A9" w:rsidR="00C46DA2" w:rsidRPr="00F61240" w:rsidRDefault="000B6C72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="00C46DA2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3103" w14:textId="2F0487CB" w:rsidR="00C46DA2" w:rsidRPr="00F61240" w:rsidRDefault="00A93F1E" w:rsidP="002416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Aid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(Fyrsta hjálp 1, 20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compar</w:t>
            </w:r>
            <w:r w:rsidR="009E18E6"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 w:rsidR="009E18E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E18E6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9E18E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E18E6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9E18E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E18E6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9E18E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E18E6">
              <w:rPr>
                <w:rFonts w:asciiTheme="minorHAnsi" w:hAnsiTheme="minorHAnsi" w:cstheme="minorHAnsi"/>
                <w:szCs w:val="24"/>
              </w:rPr>
              <w:t>organis</w:t>
            </w:r>
            <w:r w:rsidR="006B7815" w:rsidRPr="00F61240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(4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1C66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6CDD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534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5F50B75F" w:rsidR="000A524E" w:rsidRPr="00F61240" w:rsidRDefault="000B6C72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="00C46DA2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24C3CECF" w:rsidR="000A524E" w:rsidRPr="00F61240" w:rsidRDefault="006B7815" w:rsidP="00EF20F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employee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*, e. g.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Responder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61240">
              <w:rPr>
                <w:rFonts w:asciiTheme="minorHAnsi" w:hAnsiTheme="minorHAnsi" w:cstheme="minorHAnsi"/>
                <w:i/>
                <w:szCs w:val="24"/>
              </w:rPr>
              <w:t>(WFR)</w:t>
            </w:r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compar</w:t>
            </w:r>
            <w:r w:rsidR="009E18E6"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 w:rsidR="009E18E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E18E6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9E18E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E18E6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9E18E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E18E6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9E18E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E18E6">
              <w:rPr>
                <w:rFonts w:asciiTheme="minorHAnsi" w:hAnsiTheme="minorHAnsi" w:cstheme="minorHAnsi"/>
                <w:szCs w:val="24"/>
              </w:rPr>
              <w:t>organis</w:t>
            </w:r>
            <w:r w:rsidRPr="00F61240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="009E18E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E18E6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9E18E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E18E6" w:rsidRPr="00F61240">
              <w:rPr>
                <w:rFonts w:asciiTheme="minorHAnsi" w:hAnsiTheme="minorHAnsi" w:cstheme="minorHAnsi"/>
                <w:szCs w:val="24"/>
              </w:rPr>
              <w:t>attend</w:t>
            </w:r>
            <w:r w:rsidR="009E18E6">
              <w:rPr>
                <w:rFonts w:asciiTheme="minorHAnsi" w:hAnsiTheme="minorHAnsi" w:cstheme="minorHAnsi"/>
                <w:szCs w:val="24"/>
              </w:rPr>
              <w:t>s</w:t>
            </w:r>
            <w:proofErr w:type="spellEnd"/>
            <w:r w:rsidR="009E18E6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9E18E6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="009E18E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E18E6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9E18E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E18E6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9E18E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E18E6">
              <w:rPr>
                <w:rFonts w:asciiTheme="minorHAnsi" w:hAnsiTheme="minorHAnsi" w:cstheme="minorHAnsi"/>
                <w:szCs w:val="24"/>
              </w:rPr>
              <w:t>three</w:t>
            </w:r>
            <w:proofErr w:type="spellEnd"/>
            <w:r w:rsidR="009E18E6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E18E6" w:rsidRPr="00F61240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9E18E6" w:rsidRPr="00F61240">
              <w:rPr>
                <w:rFonts w:asciiTheme="minorHAnsi" w:hAnsiTheme="minorHAnsi" w:cstheme="minorHAnsi"/>
                <w:szCs w:val="24"/>
              </w:rPr>
              <w:t>.</w:t>
            </w:r>
            <w:r w:rsidR="009E18E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110C9" w:rsidRPr="00F61240" w14:paraId="5330A680" w14:textId="77777777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E250" w14:textId="7125AA8D" w:rsidR="005110C9" w:rsidRDefault="000B6C72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="005110C9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696B" w14:textId="77777777" w:rsidR="005110C9" w:rsidRDefault="005110C9" w:rsidP="00A93F1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110C9">
              <w:rPr>
                <w:rFonts w:asciiTheme="minorHAnsi" w:hAnsiTheme="minorHAnsi" w:cstheme="minorHAnsi"/>
                <w:szCs w:val="24"/>
              </w:rPr>
              <w:t xml:space="preserve">At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employee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**, e.g.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901FE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1901FE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901FE">
              <w:rPr>
                <w:rFonts w:asciiTheme="minorHAnsi" w:hAnsiTheme="minorHAnsi" w:cstheme="minorHAnsi"/>
                <w:i/>
                <w:szCs w:val="24"/>
              </w:rPr>
              <w:t>Survival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orga</w:t>
            </w:r>
            <w:r w:rsidR="00EF20FF">
              <w:rPr>
                <w:rFonts w:asciiTheme="minorHAnsi" w:hAnsiTheme="minorHAnsi" w:cstheme="minorHAnsi"/>
                <w:szCs w:val="24"/>
              </w:rPr>
              <w:t>nisation</w:t>
            </w:r>
            <w:proofErr w:type="spellEnd"/>
            <w:r w:rsidR="00EF20FF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413E357" w14:textId="642502E4" w:rsidR="00EF20FF" w:rsidRPr="00EF20FF" w:rsidRDefault="00EF20FF" w:rsidP="00A93F1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Not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applicable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when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manned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service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hut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>/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reception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 is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located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close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to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the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cave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5700" w14:textId="77777777" w:rsidR="005110C9" w:rsidRPr="00F61240" w:rsidRDefault="005110C9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5F09" w14:textId="77777777" w:rsidR="005110C9" w:rsidRPr="00F61240" w:rsidRDefault="005110C9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B36A" w14:textId="77777777" w:rsidR="005110C9" w:rsidRPr="00F61240" w:rsidRDefault="005110C9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02A01CCC" w:rsidR="000A524E" w:rsidRPr="00F61240" w:rsidRDefault="000B6C72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208</w:t>
            </w:r>
            <w:r w:rsidR="005110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7A572C85" w:rsidR="000A524E" w:rsidRPr="00F61240" w:rsidRDefault="006B7815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71560F"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="0071560F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71560F"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="0071560F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71560F"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="0071560F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71560F"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="0071560F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71560F" w:rsidRPr="00F61240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="0071560F" w:rsidRPr="00F61240">
              <w:rPr>
                <w:rFonts w:asciiTheme="minorHAnsi" w:hAnsiTheme="minorHAnsi" w:cstheme="minorHAnsi"/>
                <w:szCs w:val="24"/>
              </w:rPr>
              <w:t xml:space="preserve">*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Navigation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E18E6">
              <w:rPr>
                <w:rFonts w:asciiTheme="minorHAnsi" w:hAnsiTheme="minorHAnsi" w:cstheme="minorHAnsi"/>
                <w:szCs w:val="24"/>
              </w:rPr>
              <w:t>organis</w:t>
            </w:r>
            <w:r w:rsidRPr="00F61240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C09DFAE" w14:textId="263024A2" w:rsidR="0087227C" w:rsidRPr="00F61240" w:rsidRDefault="0087227C" w:rsidP="002416DF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</w:p>
    <w:p w14:paraId="1FFA2376" w14:textId="0DCC010F" w:rsidR="0048209B" w:rsidRPr="0071560F" w:rsidRDefault="00A93F1E" w:rsidP="0071560F">
      <w:pPr>
        <w:tabs>
          <w:tab w:val="left" w:pos="6060"/>
        </w:tabs>
        <w:rPr>
          <w:rFonts w:asciiTheme="minorHAnsi" w:hAnsiTheme="minorHAnsi" w:cstheme="minorHAnsi"/>
          <w:i/>
          <w:sz w:val="23"/>
          <w:szCs w:val="23"/>
        </w:rPr>
      </w:pPr>
      <w:r w:rsidRPr="00F61240">
        <w:rPr>
          <w:rFonts w:asciiTheme="minorHAnsi" w:hAnsiTheme="minorHAnsi" w:cstheme="minorHAnsi"/>
          <w:i/>
          <w:sz w:val="23"/>
          <w:szCs w:val="23"/>
        </w:rPr>
        <w:t>*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Wilderness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is a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place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or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area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where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it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takes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a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minimum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of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two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hours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to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get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third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party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assistance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.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Please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note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;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during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summer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mountain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roads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classified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as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F-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roads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are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exempt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from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criteria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0B6C72">
        <w:rPr>
          <w:rFonts w:asciiTheme="minorHAnsi" w:hAnsiTheme="minorHAnsi" w:cstheme="minorHAnsi"/>
          <w:i/>
          <w:sz w:val="23"/>
          <w:szCs w:val="23"/>
        </w:rPr>
        <w:t>208</w:t>
      </w:r>
      <w:r w:rsidR="0071560F" w:rsidRPr="00F61240">
        <w:rPr>
          <w:rFonts w:asciiTheme="minorHAnsi" w:hAnsiTheme="minorHAnsi" w:cstheme="minorHAnsi"/>
          <w:i/>
          <w:sz w:val="23"/>
          <w:szCs w:val="23"/>
        </w:rPr>
        <w:t>-3.4.</w:t>
      </w:r>
      <w:bookmarkStart w:id="0" w:name="_GoBack"/>
      <w:bookmarkEnd w:id="0"/>
    </w:p>
    <w:sectPr w:rsidR="0048209B" w:rsidRPr="0071560F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7EDB5B7C" w:rsidR="00B077F0" w:rsidRDefault="00304037" w:rsidP="00276D1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D14">
      <w:rPr>
        <w:bCs/>
        <w:color w:val="7F7F7F" w:themeColor="text1" w:themeTint="80"/>
        <w:sz w:val="20"/>
        <w:szCs w:val="20"/>
      </w:rPr>
      <w:t xml:space="preserve">                                                              </w:t>
    </w:r>
    <w:r w:rsidR="00787B62">
      <w:rPr>
        <w:bCs/>
        <w:color w:val="7F7F7F" w:themeColor="text1" w:themeTint="80"/>
        <w:sz w:val="20"/>
        <w:szCs w:val="20"/>
      </w:rPr>
      <w:t xml:space="preserve">        </w:t>
    </w:r>
    <w:r w:rsidR="00164706">
      <w:rPr>
        <w:bCs/>
        <w:color w:val="7F7F7F" w:themeColor="text1" w:themeTint="80"/>
        <w:sz w:val="20"/>
        <w:szCs w:val="20"/>
      </w:rPr>
      <w:t xml:space="preserve">                        </w:t>
    </w:r>
    <w:r w:rsidR="00276D14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164706">
      <w:rPr>
        <w:bCs/>
        <w:color w:val="7F7F7F" w:themeColor="text1" w:themeTint="80"/>
        <w:sz w:val="20"/>
        <w:szCs w:val="20"/>
      </w:rPr>
      <w:t>Nature</w:t>
    </w:r>
    <w:proofErr w:type="spellEnd"/>
    <w:r w:rsidR="00164706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164706">
      <w:rPr>
        <w:bCs/>
        <w:color w:val="7F7F7F" w:themeColor="text1" w:themeTint="80"/>
        <w:sz w:val="20"/>
        <w:szCs w:val="20"/>
      </w:rPr>
      <w:t>Observation</w:t>
    </w:r>
    <w:proofErr w:type="spellEnd"/>
    <w:r w:rsidR="00164706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164706">
      <w:rPr>
        <w:bCs/>
        <w:color w:val="7F7F7F" w:themeColor="text1" w:themeTint="80"/>
        <w:sz w:val="20"/>
        <w:szCs w:val="20"/>
      </w:rPr>
      <w:t>on</w:t>
    </w:r>
    <w:proofErr w:type="spellEnd"/>
    <w:r w:rsidR="00164706">
      <w:rPr>
        <w:bCs/>
        <w:color w:val="7F7F7F" w:themeColor="text1" w:themeTint="80"/>
        <w:sz w:val="20"/>
        <w:szCs w:val="20"/>
      </w:rPr>
      <w:t xml:space="preserve"> Land</w:t>
    </w:r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164706">
      <w:rPr>
        <w:bCs/>
        <w:color w:val="7F7F7F" w:themeColor="text1" w:themeTint="80"/>
        <w:sz w:val="20"/>
        <w:szCs w:val="20"/>
      </w:rPr>
      <w:t xml:space="preserve">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      </w:t>
    </w:r>
    <w:r w:rsidR="00C403AE">
      <w:rPr>
        <w:bCs/>
        <w:color w:val="7F7F7F" w:themeColor="text1" w:themeTint="80"/>
        <w:sz w:val="20"/>
        <w:szCs w:val="20"/>
      </w:rPr>
      <w:t xml:space="preserve">   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164706">
      <w:rPr>
        <w:noProof/>
        <w:sz w:val="32"/>
      </w:rPr>
      <w:t>2</w:t>
    </w:r>
    <w:r w:rsidRPr="001F0281">
      <w:rPr>
        <w:noProof/>
        <w:sz w:val="32"/>
      </w:rPr>
      <w:fldChar w:fldCharType="end"/>
    </w:r>
  </w:p>
  <w:p w14:paraId="698FA41D" w14:textId="47A1B18E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</w:t>
    </w:r>
    <w:r w:rsidR="00A85A6B">
      <w:rPr>
        <w:bCs/>
        <w:color w:val="7F7F7F" w:themeColor="text1" w:themeTint="80"/>
        <w:sz w:val="20"/>
        <w:szCs w:val="20"/>
      </w:rPr>
      <w:t xml:space="preserve">                            </w:t>
    </w:r>
    <w:r w:rsidR="00E13210">
      <w:rPr>
        <w:bCs/>
        <w:color w:val="7F7F7F" w:themeColor="text1" w:themeTint="80"/>
        <w:sz w:val="20"/>
        <w:szCs w:val="20"/>
      </w:rPr>
      <w:t xml:space="preserve"> </w:t>
    </w:r>
    <w:r w:rsidR="00787B62">
      <w:rPr>
        <w:bCs/>
        <w:color w:val="7F7F7F" w:themeColor="text1" w:themeTint="80"/>
        <w:sz w:val="20"/>
        <w:szCs w:val="20"/>
      </w:rPr>
      <w:t xml:space="preserve">                                      </w:t>
    </w:r>
    <w:r w:rsidR="00164706">
      <w:rPr>
        <w:bCs/>
        <w:color w:val="7F7F7F" w:themeColor="text1" w:themeTint="80"/>
        <w:sz w:val="20"/>
        <w:szCs w:val="20"/>
      </w:rPr>
      <w:t xml:space="preserve">                         </w:t>
    </w:r>
    <w:r w:rsidR="00787B62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164706">
      <w:rPr>
        <w:bCs/>
        <w:color w:val="7F7F7F" w:themeColor="text1" w:themeTint="80"/>
        <w:sz w:val="18"/>
        <w:szCs w:val="18"/>
      </w:rPr>
      <w:t>Criteria</w:t>
    </w:r>
    <w:proofErr w:type="spellEnd"/>
    <w:r w:rsidR="00164706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164706">
      <w:rPr>
        <w:bCs/>
        <w:color w:val="7F7F7F" w:themeColor="text1" w:themeTint="80"/>
        <w:sz w:val="18"/>
        <w:szCs w:val="18"/>
      </w:rPr>
      <w:t>to</w:t>
    </w:r>
    <w:proofErr w:type="spellEnd"/>
    <w:r w:rsidR="00164706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164706">
      <w:rPr>
        <w:bCs/>
        <w:color w:val="7F7F7F" w:themeColor="text1" w:themeTint="80"/>
        <w:sz w:val="18"/>
        <w:szCs w:val="18"/>
      </w:rPr>
      <w:t>be</w:t>
    </w:r>
    <w:proofErr w:type="spellEnd"/>
    <w:r w:rsidR="00164706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164706">
      <w:rPr>
        <w:bCs/>
        <w:color w:val="7F7F7F" w:themeColor="text1" w:themeTint="80"/>
        <w:sz w:val="18"/>
        <w:szCs w:val="18"/>
      </w:rPr>
      <w:t>revised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49B6"/>
    <w:multiLevelType w:val="hybridMultilevel"/>
    <w:tmpl w:val="1578093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75099"/>
    <w:multiLevelType w:val="hybridMultilevel"/>
    <w:tmpl w:val="92FEA31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73CE1"/>
    <w:multiLevelType w:val="hybridMultilevel"/>
    <w:tmpl w:val="6F34A49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15"/>
  </w:num>
  <w:num w:numId="5">
    <w:abstractNumId w:val="26"/>
  </w:num>
  <w:num w:numId="6">
    <w:abstractNumId w:val="8"/>
  </w:num>
  <w:num w:numId="7">
    <w:abstractNumId w:val="3"/>
  </w:num>
  <w:num w:numId="8">
    <w:abstractNumId w:val="0"/>
  </w:num>
  <w:num w:numId="9">
    <w:abstractNumId w:val="22"/>
  </w:num>
  <w:num w:numId="10">
    <w:abstractNumId w:val="9"/>
  </w:num>
  <w:num w:numId="11">
    <w:abstractNumId w:val="2"/>
  </w:num>
  <w:num w:numId="12">
    <w:abstractNumId w:val="25"/>
  </w:num>
  <w:num w:numId="13">
    <w:abstractNumId w:val="5"/>
  </w:num>
  <w:num w:numId="14">
    <w:abstractNumId w:val="24"/>
  </w:num>
  <w:num w:numId="15">
    <w:abstractNumId w:val="19"/>
  </w:num>
  <w:num w:numId="16">
    <w:abstractNumId w:val="12"/>
  </w:num>
  <w:num w:numId="17">
    <w:abstractNumId w:val="1"/>
  </w:num>
  <w:num w:numId="18">
    <w:abstractNumId w:val="16"/>
  </w:num>
  <w:num w:numId="19">
    <w:abstractNumId w:val="10"/>
  </w:num>
  <w:num w:numId="20">
    <w:abstractNumId w:val="13"/>
  </w:num>
  <w:num w:numId="21">
    <w:abstractNumId w:val="4"/>
  </w:num>
  <w:num w:numId="22">
    <w:abstractNumId w:val="14"/>
  </w:num>
  <w:num w:numId="23">
    <w:abstractNumId w:val="18"/>
  </w:num>
  <w:num w:numId="24">
    <w:abstractNumId w:val="6"/>
  </w:num>
  <w:num w:numId="25">
    <w:abstractNumId w:val="20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6427"/>
    <w:rsid w:val="00052C52"/>
    <w:rsid w:val="00076D97"/>
    <w:rsid w:val="00081B91"/>
    <w:rsid w:val="000868CB"/>
    <w:rsid w:val="000A524E"/>
    <w:rsid w:val="000B3C64"/>
    <w:rsid w:val="000B3E19"/>
    <w:rsid w:val="000B6C72"/>
    <w:rsid w:val="000C09E4"/>
    <w:rsid w:val="000D09C2"/>
    <w:rsid w:val="000E5B64"/>
    <w:rsid w:val="000F1B0B"/>
    <w:rsid w:val="000F40BB"/>
    <w:rsid w:val="000F4BEE"/>
    <w:rsid w:val="000F55AC"/>
    <w:rsid w:val="00100CC0"/>
    <w:rsid w:val="00101D3A"/>
    <w:rsid w:val="0010709B"/>
    <w:rsid w:val="00116BA9"/>
    <w:rsid w:val="001206CC"/>
    <w:rsid w:val="00123340"/>
    <w:rsid w:val="00125850"/>
    <w:rsid w:val="00126B15"/>
    <w:rsid w:val="00147A64"/>
    <w:rsid w:val="00153987"/>
    <w:rsid w:val="0016151A"/>
    <w:rsid w:val="001620B8"/>
    <w:rsid w:val="00164706"/>
    <w:rsid w:val="00173C37"/>
    <w:rsid w:val="00175E93"/>
    <w:rsid w:val="00185515"/>
    <w:rsid w:val="001901FE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206B5B"/>
    <w:rsid w:val="002152EB"/>
    <w:rsid w:val="00217394"/>
    <w:rsid w:val="0022746B"/>
    <w:rsid w:val="002416DF"/>
    <w:rsid w:val="00250886"/>
    <w:rsid w:val="00252765"/>
    <w:rsid w:val="002542FA"/>
    <w:rsid w:val="00255F5F"/>
    <w:rsid w:val="0025734A"/>
    <w:rsid w:val="002606C3"/>
    <w:rsid w:val="0026070D"/>
    <w:rsid w:val="0026216A"/>
    <w:rsid w:val="0026725A"/>
    <w:rsid w:val="002716AB"/>
    <w:rsid w:val="00276D14"/>
    <w:rsid w:val="00294448"/>
    <w:rsid w:val="00297E1E"/>
    <w:rsid w:val="002B3458"/>
    <w:rsid w:val="002B4435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E057F"/>
    <w:rsid w:val="003F08BF"/>
    <w:rsid w:val="0040253A"/>
    <w:rsid w:val="00402BDA"/>
    <w:rsid w:val="00406055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8209B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10C9"/>
    <w:rsid w:val="005158D9"/>
    <w:rsid w:val="005218FF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3D5F"/>
    <w:rsid w:val="00594C3C"/>
    <w:rsid w:val="00595176"/>
    <w:rsid w:val="00596809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14B6"/>
    <w:rsid w:val="006A4663"/>
    <w:rsid w:val="006A6785"/>
    <w:rsid w:val="006A6B3B"/>
    <w:rsid w:val="006B7815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3519"/>
    <w:rsid w:val="00714AB5"/>
    <w:rsid w:val="0071560F"/>
    <w:rsid w:val="00717803"/>
    <w:rsid w:val="00724093"/>
    <w:rsid w:val="00741C27"/>
    <w:rsid w:val="00746EAB"/>
    <w:rsid w:val="00750314"/>
    <w:rsid w:val="00750B41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87B62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D7815"/>
    <w:rsid w:val="007E517D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91C9E"/>
    <w:rsid w:val="008B1D6B"/>
    <w:rsid w:val="008B1DFC"/>
    <w:rsid w:val="008C3390"/>
    <w:rsid w:val="008C4B38"/>
    <w:rsid w:val="008C74D0"/>
    <w:rsid w:val="008D5BC3"/>
    <w:rsid w:val="008D7B82"/>
    <w:rsid w:val="008F5CD9"/>
    <w:rsid w:val="00900EC8"/>
    <w:rsid w:val="00905CBC"/>
    <w:rsid w:val="00915DD4"/>
    <w:rsid w:val="009178AF"/>
    <w:rsid w:val="00921B96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18E6"/>
    <w:rsid w:val="009E2179"/>
    <w:rsid w:val="009E4E4C"/>
    <w:rsid w:val="009E6296"/>
    <w:rsid w:val="009F2C90"/>
    <w:rsid w:val="00A06D4A"/>
    <w:rsid w:val="00A10A92"/>
    <w:rsid w:val="00A12854"/>
    <w:rsid w:val="00A15430"/>
    <w:rsid w:val="00A251F8"/>
    <w:rsid w:val="00A31FB8"/>
    <w:rsid w:val="00A35CB2"/>
    <w:rsid w:val="00A45E6E"/>
    <w:rsid w:val="00A4640A"/>
    <w:rsid w:val="00A61507"/>
    <w:rsid w:val="00A6156B"/>
    <w:rsid w:val="00A62DCD"/>
    <w:rsid w:val="00A62FB0"/>
    <w:rsid w:val="00A667C3"/>
    <w:rsid w:val="00A85A6B"/>
    <w:rsid w:val="00A87D49"/>
    <w:rsid w:val="00A922A9"/>
    <w:rsid w:val="00A93F1E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07828"/>
    <w:rsid w:val="00B12D71"/>
    <w:rsid w:val="00B135BB"/>
    <w:rsid w:val="00B273BF"/>
    <w:rsid w:val="00B4454B"/>
    <w:rsid w:val="00B45FBC"/>
    <w:rsid w:val="00B47997"/>
    <w:rsid w:val="00B670BA"/>
    <w:rsid w:val="00B6710B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D4F2A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403AE"/>
    <w:rsid w:val="00C46DA2"/>
    <w:rsid w:val="00C55FDB"/>
    <w:rsid w:val="00C63B5B"/>
    <w:rsid w:val="00C67E68"/>
    <w:rsid w:val="00C72D5A"/>
    <w:rsid w:val="00C751E0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D0131C"/>
    <w:rsid w:val="00D0741A"/>
    <w:rsid w:val="00D159FD"/>
    <w:rsid w:val="00D1645D"/>
    <w:rsid w:val="00D26544"/>
    <w:rsid w:val="00D44707"/>
    <w:rsid w:val="00D51965"/>
    <w:rsid w:val="00D51D7D"/>
    <w:rsid w:val="00D54AB0"/>
    <w:rsid w:val="00D6011F"/>
    <w:rsid w:val="00D6459F"/>
    <w:rsid w:val="00D67029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3210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75BAA"/>
    <w:rsid w:val="00E77948"/>
    <w:rsid w:val="00E8175E"/>
    <w:rsid w:val="00EA11BC"/>
    <w:rsid w:val="00EA45CB"/>
    <w:rsid w:val="00EB3C87"/>
    <w:rsid w:val="00EB4A1D"/>
    <w:rsid w:val="00ED2A33"/>
    <w:rsid w:val="00ED7FF5"/>
    <w:rsid w:val="00EE2FCD"/>
    <w:rsid w:val="00EE7930"/>
    <w:rsid w:val="00EF20FF"/>
    <w:rsid w:val="00EF6D6D"/>
    <w:rsid w:val="00F046DA"/>
    <w:rsid w:val="00F1086D"/>
    <w:rsid w:val="00F27909"/>
    <w:rsid w:val="00F30634"/>
    <w:rsid w:val="00F32FB4"/>
    <w:rsid w:val="00F33F66"/>
    <w:rsid w:val="00F3453A"/>
    <w:rsid w:val="00F43DAF"/>
    <w:rsid w:val="00F56F38"/>
    <w:rsid w:val="00F57D06"/>
    <w:rsid w:val="00F61240"/>
    <w:rsid w:val="00F65861"/>
    <w:rsid w:val="00F767A2"/>
    <w:rsid w:val="00F802FE"/>
    <w:rsid w:val="00F949AF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2184-9C59-489E-9564-55F51573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8</cp:revision>
  <cp:lastPrinted>2017-06-20T10:54:00Z</cp:lastPrinted>
  <dcterms:created xsi:type="dcterms:W3CDTF">2018-10-18T11:13:00Z</dcterms:created>
  <dcterms:modified xsi:type="dcterms:W3CDTF">2018-11-15T13:56:00Z</dcterms:modified>
</cp:coreProperties>
</file>